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28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008080"/>
        <w:tblLook w:val="04A0" w:firstRow="1" w:lastRow="0" w:firstColumn="1" w:lastColumn="0" w:noHBand="0" w:noVBand="1"/>
      </w:tblPr>
      <w:tblGrid>
        <w:gridCol w:w="817"/>
        <w:gridCol w:w="2066"/>
        <w:gridCol w:w="5403"/>
      </w:tblGrid>
      <w:tr w:rsidR="00FE0567" w:rsidRPr="00AE4E99" w14:paraId="320E80CE" w14:textId="77777777" w:rsidTr="00FE0567">
        <w:tc>
          <w:tcPr>
            <w:tcW w:w="817" w:type="dxa"/>
            <w:shd w:val="clear" w:color="auto" w:fill="008080"/>
          </w:tcPr>
          <w:p w14:paraId="5861922C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noProof/>
                <w:color w:val="FFFFFF" w:themeColor="background1"/>
              </w:rPr>
              <w:drawing>
                <wp:inline distT="0" distB="0" distL="0" distR="0" wp14:anchorId="7AC3A9A4" wp14:editId="3F4FED3E">
                  <wp:extent cx="373380" cy="373380"/>
                  <wp:effectExtent l="0" t="0" r="7620" b="7620"/>
                  <wp:docPr id="13" name="Γραφικό 13" descr="Εργαλεία με συμπαγές γέμισ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Γραφικό 8" descr="Εργαλεία με συμπαγές γέμισμα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gridSpan w:val="2"/>
            <w:shd w:val="clear" w:color="auto" w:fill="008080"/>
            <w:vAlign w:val="center"/>
          </w:tcPr>
          <w:p w14:paraId="32318D82" w14:textId="77777777" w:rsidR="00FE0567" w:rsidRPr="00AE4E99" w:rsidRDefault="00FE0567" w:rsidP="00FE056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AE4E99">
              <w:rPr>
                <w:color w:val="FFFFFF" w:themeColor="background1"/>
              </w:rPr>
              <w:t>Eligibility criteria for SMEs to participate in the Business Support Programme</w:t>
            </w:r>
          </w:p>
        </w:tc>
      </w:tr>
      <w:tr w:rsidR="00FE0567" w:rsidRPr="00AE4E99" w14:paraId="4BB2D60B" w14:textId="77777777" w:rsidTr="00FE0567">
        <w:tc>
          <w:tcPr>
            <w:tcW w:w="2883" w:type="dxa"/>
            <w:gridSpan w:val="2"/>
            <w:shd w:val="clear" w:color="auto" w:fill="008080"/>
          </w:tcPr>
          <w:p w14:paraId="71702ABC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Innovation management capacity of the SME</w:t>
            </w:r>
          </w:p>
        </w:tc>
        <w:tc>
          <w:tcPr>
            <w:tcW w:w="5403" w:type="dxa"/>
            <w:shd w:val="clear" w:color="auto" w:fill="008080"/>
          </w:tcPr>
          <w:p w14:paraId="77246E92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Referring to the readiness of business skills aimed at the production of significantly advanced goods and services in line with market needs</w:t>
            </w:r>
          </w:p>
        </w:tc>
      </w:tr>
      <w:tr w:rsidR="00FE0567" w:rsidRPr="00AE4E99" w14:paraId="126F4676" w14:textId="77777777" w:rsidTr="00FE0567">
        <w:tc>
          <w:tcPr>
            <w:tcW w:w="2883" w:type="dxa"/>
            <w:gridSpan w:val="2"/>
            <w:shd w:val="clear" w:color="auto" w:fill="008080"/>
          </w:tcPr>
          <w:p w14:paraId="26CA3957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Technology Readiness Level (TRL)</w:t>
            </w:r>
          </w:p>
        </w:tc>
        <w:tc>
          <w:tcPr>
            <w:tcW w:w="5403" w:type="dxa"/>
            <w:shd w:val="clear" w:color="auto" w:fill="008080"/>
          </w:tcPr>
          <w:p w14:paraId="3706942D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Referring to the technological maturity of the product/service consistent with the readiness of an investor to recognize the value of SME</w:t>
            </w:r>
          </w:p>
        </w:tc>
      </w:tr>
      <w:tr w:rsidR="00FE0567" w:rsidRPr="00AE4E99" w14:paraId="317CADBD" w14:textId="77777777" w:rsidTr="00FE0567">
        <w:tc>
          <w:tcPr>
            <w:tcW w:w="2883" w:type="dxa"/>
            <w:gridSpan w:val="2"/>
            <w:shd w:val="clear" w:color="auto" w:fill="008080"/>
          </w:tcPr>
          <w:p w14:paraId="51EED49D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Infrastructures and plants</w:t>
            </w:r>
          </w:p>
        </w:tc>
        <w:tc>
          <w:tcPr>
            <w:tcW w:w="5403" w:type="dxa"/>
            <w:shd w:val="clear" w:color="auto" w:fill="008080"/>
          </w:tcPr>
          <w:p w14:paraId="525F6A45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Referring to the material and production equipment of the company consistent with the target market segment to which it is addressed</w:t>
            </w:r>
          </w:p>
        </w:tc>
      </w:tr>
      <w:tr w:rsidR="00FE0567" w:rsidRPr="00AE4E99" w14:paraId="2B085C24" w14:textId="77777777" w:rsidTr="00FE0567">
        <w:tc>
          <w:tcPr>
            <w:tcW w:w="2883" w:type="dxa"/>
            <w:gridSpan w:val="2"/>
            <w:shd w:val="clear" w:color="auto" w:fill="008080"/>
          </w:tcPr>
          <w:p w14:paraId="1721E8E1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Financial sources</w:t>
            </w:r>
          </w:p>
        </w:tc>
        <w:tc>
          <w:tcPr>
            <w:tcW w:w="5403" w:type="dxa"/>
            <w:shd w:val="clear" w:color="auto" w:fill="008080"/>
          </w:tcPr>
          <w:p w14:paraId="0AEFC294" w14:textId="77777777" w:rsidR="00FE0567" w:rsidRPr="00AE4E99" w:rsidRDefault="00FE0567" w:rsidP="00FE0567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AE4E99">
              <w:rPr>
                <w:rFonts w:eastAsia="Arial"/>
                <w:color w:val="FFFFFF" w:themeColor="background1"/>
              </w:rPr>
              <w:t>Referring to the SME’s ability to attract capital and investments already covered by its resources, by its shareholders or by national and European public authorities</w:t>
            </w:r>
          </w:p>
        </w:tc>
      </w:tr>
    </w:tbl>
    <w:p w14:paraId="2143D6AB" w14:textId="2178AC33" w:rsidR="00FE0567" w:rsidRDefault="00FE0567">
      <w:pPr>
        <w:rPr>
          <w:b/>
          <w:bCs/>
          <w:u w:val="single"/>
        </w:rPr>
      </w:pPr>
      <w:r w:rsidRPr="00FE0567">
        <w:rPr>
          <w:b/>
          <w:bCs/>
          <w:u w:val="single"/>
        </w:rPr>
        <w:t>Eligibility criteria for SMEs to participate in the Business Support Programme</w:t>
      </w:r>
    </w:p>
    <w:p w14:paraId="2D72E563" w14:textId="77777777" w:rsidR="00FE0567" w:rsidRDefault="00FE0567">
      <w:pPr>
        <w:rPr>
          <w:b/>
          <w:bCs/>
          <w:u w:val="single"/>
        </w:rPr>
      </w:pPr>
    </w:p>
    <w:p w14:paraId="2A3B2CA4" w14:textId="77777777" w:rsidR="00FE0567" w:rsidRDefault="00FE0567" w:rsidP="00FE0567">
      <w:pPr>
        <w:spacing w:line="276" w:lineRule="auto"/>
        <w:jc w:val="both"/>
        <w:rPr>
          <w:rFonts w:eastAsia="Arial"/>
          <w:b/>
          <w:bCs/>
          <w:u w:val="single"/>
          <w:lang w:val="en-GB"/>
        </w:rPr>
      </w:pPr>
    </w:p>
    <w:p w14:paraId="1722A7EE" w14:textId="21E62FE9" w:rsidR="00FE0567" w:rsidRPr="00FE0567" w:rsidRDefault="00FE0567" w:rsidP="00FE0567">
      <w:pPr>
        <w:spacing w:line="276" w:lineRule="auto"/>
        <w:jc w:val="both"/>
        <w:rPr>
          <w:rFonts w:eastAsia="Arial"/>
          <w:b/>
          <w:bCs/>
          <w:u w:val="single"/>
          <w:lang w:val="en-GB"/>
        </w:rPr>
      </w:pPr>
      <w:r w:rsidRPr="00FE0567">
        <w:rPr>
          <w:rFonts w:eastAsia="Arial"/>
          <w:b/>
          <w:bCs/>
          <w:u w:val="single"/>
          <w:lang w:val="en-GB"/>
        </w:rPr>
        <w:t>S</w:t>
      </w:r>
      <w:r w:rsidRPr="00FE0567">
        <w:rPr>
          <w:rFonts w:eastAsia="Arial"/>
          <w:b/>
          <w:bCs/>
          <w:u w:val="single"/>
          <w:lang w:val="en-GB"/>
        </w:rPr>
        <w:t xml:space="preserve">creening support questions </w:t>
      </w:r>
    </w:p>
    <w:p w14:paraId="27911C6B" w14:textId="77777777" w:rsidR="00FE0567" w:rsidRDefault="00FE0567" w:rsidP="00FE0567">
      <w:pPr>
        <w:keepNext/>
        <w:spacing w:line="276" w:lineRule="auto"/>
        <w:jc w:val="both"/>
      </w:pPr>
      <w:r>
        <w:rPr>
          <w:noProof/>
        </w:rPr>
        <w:drawing>
          <wp:inline distT="0" distB="0" distL="0" distR="0" wp14:anchorId="54E14CE2" wp14:editId="663FEE4F">
            <wp:extent cx="5212080" cy="2363768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911" cy="238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18186" w14:textId="77777777" w:rsidR="00FE0567" w:rsidRDefault="00FE0567"/>
    <w:sectPr w:rsidR="00FE0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67"/>
    <w:rsid w:val="008316FD"/>
    <w:rsid w:val="00E65313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33F"/>
  <w15:chartTrackingRefBased/>
  <w15:docId w15:val="{97103A01-5CFC-4480-9E54-0C80413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567"/>
    <w:rPr>
      <w:rFonts w:ascii="Arial" w:hAnsi="Arial" w:cs="Arial"/>
      <w:color w:val="000000" w:themeColor="text1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OFI_Legend-Table-Grid,Deloitte"/>
    <w:basedOn w:val="a1"/>
    <w:rsid w:val="00FE0567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E05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Balla</dc:creator>
  <cp:keywords/>
  <dc:description/>
  <cp:lastModifiedBy>Christina Balla</cp:lastModifiedBy>
  <cp:revision>1</cp:revision>
  <dcterms:created xsi:type="dcterms:W3CDTF">2022-08-30T07:40:00Z</dcterms:created>
  <dcterms:modified xsi:type="dcterms:W3CDTF">2022-08-30T07:44:00Z</dcterms:modified>
</cp:coreProperties>
</file>